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报名登记表</w:t>
      </w:r>
    </w:p>
    <w:tbl>
      <w:tblPr>
        <w:tblStyle w:val="3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特别提示：</w:t>
            </w:r>
            <w:r>
              <w:rPr>
                <w:rFonts w:hint="eastAsia" w:ascii="宋体" w:hAnsi="宋体"/>
                <w:szCs w:val="21"/>
              </w:rPr>
              <w:t>供应商应认真阅读公开比选采购公告中“供应商资格要求”的规定，并自查确认满足资格要求后再报名。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OTdjZmY0ODQzNjViNjcxYzI5MTk2YzVmNDA2ODMifQ=="/>
  </w:docVars>
  <w:rsids>
    <w:rsidRoot w:val="009B040E"/>
    <w:rsid w:val="002B3BC2"/>
    <w:rsid w:val="004D1775"/>
    <w:rsid w:val="008C0781"/>
    <w:rsid w:val="009B040E"/>
    <w:rsid w:val="596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2023-04-10T01:56:00Z</dcterms:created>
  <dc:creator>登记结算系统管理员</dc:creator>
  <cp:lastModifiedBy>魏  磊</cp:lastModifiedBy>
  <dcterms:modified xsi:type="dcterms:W3CDTF">2023-11-02T01:56:56Z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2556244E437F4F28AA9B2E40AD37C4C1_12</vt:lpwstr>
  </property>
</Properties>
</file>